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17"/>
        <w:ind w:left="2122" w:right="204" w:firstLine="0"/>
        <w:jc w:val="left"/>
        <w:rPr>
          <w:b/>
          <w:sz w:val="28"/>
        </w:rPr>
      </w:pPr>
      <w:r>
        <w:rPr>
          <w:b/>
          <w:sz w:val="28"/>
        </w:rPr>
        <w:t>Messa in opera Conversation Window Extension</w:t>
      </w:r>
    </w:p>
    <w:p>
      <w:pPr>
        <w:pStyle w:val="BodyText"/>
        <w:spacing w:before="11"/>
        <w:rPr>
          <w:b/>
          <w:sz w:val="21"/>
        </w:rPr>
      </w:pPr>
    </w:p>
    <w:p>
      <w:pPr>
        <w:pStyle w:val="BodyText"/>
        <w:ind w:left="113" w:right="453"/>
        <w:jc w:val="both"/>
      </w:pPr>
      <w:r>
        <w:rPr/>
        <w:t>Il file HTML va copiato all’interno di un webserver che sia raggiungibile dalle singole postazioni (potete utilizzare anche quello del MetaDirectory, la root del webserver è c:\programmi\ESTOS\MetaDirectory 3.5\wwwroot).</w:t>
      </w:r>
    </w:p>
    <w:p>
      <w:pPr>
        <w:pStyle w:val="BodyText"/>
        <w:spacing w:before="10"/>
        <w:rPr>
          <w:sz w:val="21"/>
        </w:rPr>
      </w:pPr>
    </w:p>
    <w:p>
      <w:pPr>
        <w:pStyle w:val="BodyText"/>
        <w:ind w:left="113" w:right="204"/>
      </w:pPr>
      <w:r>
        <w:rPr/>
        <w:t>Tale URL va inserito all’interno dell’amministrazione UCServer -&gt; Profilo -&gt; Default -&gt; Avanzate -&gt; URL per l’estensione della finestra di chiamata.</w:t>
      </w:r>
    </w:p>
    <w:p>
      <w:pPr>
        <w:pStyle w:val="BodyText"/>
        <w:rPr>
          <w:sz w:val="19"/>
        </w:rPr>
      </w:pPr>
      <w:r>
        <w:rPr/>
        <w:drawing>
          <wp:anchor distT="0" distB="0" distL="0" distR="0" allowOverlap="1" layoutInCell="1" locked="0" behindDoc="0" simplePos="0" relativeHeight="0">
            <wp:simplePos x="0" y="0"/>
            <wp:positionH relativeFrom="page">
              <wp:posOffset>719327</wp:posOffset>
            </wp:positionH>
            <wp:positionV relativeFrom="paragraph">
              <wp:posOffset>172540</wp:posOffset>
            </wp:positionV>
            <wp:extent cx="2961994" cy="2581275"/>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961994" cy="2581275"/>
                    </a:xfrm>
                    <a:prstGeom prst="rect">
                      <a:avLst/>
                    </a:prstGeom>
                  </pic:spPr>
                </pic:pic>
              </a:graphicData>
            </a:graphic>
          </wp:anchor>
        </w:drawing>
      </w:r>
      <w:r>
        <w:rPr/>
        <w:drawing>
          <wp:anchor distT="0" distB="0" distL="0" distR="0" allowOverlap="1" layoutInCell="1" locked="0" behindDoc="0" simplePos="0" relativeHeight="1048">
            <wp:simplePos x="0" y="0"/>
            <wp:positionH relativeFrom="page">
              <wp:posOffset>719327</wp:posOffset>
            </wp:positionH>
            <wp:positionV relativeFrom="paragraph">
              <wp:posOffset>2934028</wp:posOffset>
            </wp:positionV>
            <wp:extent cx="3086324" cy="3619500"/>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3086324" cy="3619500"/>
                    </a:xfrm>
                    <a:prstGeom prst="rect">
                      <a:avLst/>
                    </a:prstGeom>
                  </pic:spPr>
                </pic:pic>
              </a:graphicData>
            </a:graphic>
          </wp:anchor>
        </w:drawing>
      </w:r>
    </w:p>
    <w:p>
      <w:pPr>
        <w:pStyle w:val="BodyText"/>
        <w:spacing w:before="8"/>
        <w:rPr>
          <w:sz w:val="17"/>
        </w:rPr>
      </w:pPr>
    </w:p>
    <w:p>
      <w:pPr>
        <w:pStyle w:val="BodyText"/>
        <w:spacing w:before="9"/>
        <w:rPr>
          <w:sz w:val="19"/>
        </w:rPr>
      </w:pPr>
    </w:p>
    <w:p>
      <w:pPr>
        <w:pStyle w:val="BodyText"/>
        <w:ind w:left="113" w:right="92"/>
      </w:pPr>
      <w:r>
        <w:rPr/>
        <w:t>Al login successivo dei client la modifica sarà operativa. Gli esempi allegati possono essere abbelliti tramite opportuno CSS. Il file “bolla_pro.html” contiene al suo interno il codice CSS necessario a rendere il contenuto HTML graficamente coerente con il resto della finestra di chiamata.</w:t>
      </w:r>
    </w:p>
    <w:p>
      <w:pPr>
        <w:spacing w:after="0"/>
        <w:sectPr>
          <w:type w:val="continuous"/>
          <w:pgSz w:w="11910" w:h="16840"/>
          <w:pgMar w:top="1380" w:bottom="280" w:left="1020" w:right="1140"/>
        </w:sectPr>
      </w:pPr>
    </w:p>
    <w:p>
      <w:pPr>
        <w:pStyle w:val="BodyText"/>
        <w:spacing w:before="34"/>
        <w:ind w:left="113" w:right="291"/>
      </w:pPr>
      <w:r>
        <w:rPr>
          <w:b/>
        </w:rPr>
        <w:t>Avvertenza: </w:t>
      </w:r>
      <w:r>
        <w:rPr/>
        <w:t>sugli Internet Explorer delle singole postazioni sarà necessario modificare alcune policy di sicurezza relative alla Zona in cui lo script si trova (se lo avete ospitato su un webserver locale, tipicamente la zona sarà “Intranet Locale”). Ciò si rende necessario per fornire allo script (e, nello specifico, agli oggetti ActiveX) i permessi per l’accesso al file system locale.</w:t>
      </w:r>
    </w:p>
    <w:p>
      <w:pPr>
        <w:pStyle w:val="BodyText"/>
      </w:pPr>
    </w:p>
    <w:p>
      <w:pPr>
        <w:pStyle w:val="BodyText"/>
        <w:ind w:left="113" w:right="291"/>
      </w:pPr>
      <w:r>
        <w:rPr/>
        <w:t>E' possibile  modificare tale impostazione anche dalle Group Policy Active Directory.</w:t>
      </w:r>
    </w:p>
    <w:p>
      <w:pPr>
        <w:pStyle w:val="BodyText"/>
      </w:pPr>
    </w:p>
    <w:p>
      <w:pPr>
        <w:pStyle w:val="BodyText"/>
      </w:pPr>
    </w:p>
    <w:p>
      <w:pPr>
        <w:pStyle w:val="BodyText"/>
      </w:pPr>
    </w:p>
    <w:p>
      <w:pPr>
        <w:pStyle w:val="BodyText"/>
        <w:spacing w:before="11"/>
        <w:rPr>
          <w:sz w:val="26"/>
        </w:rPr>
      </w:pPr>
    </w:p>
    <w:p>
      <w:pPr>
        <w:pStyle w:val="BodyText"/>
        <w:ind w:left="828" w:right="291"/>
      </w:pPr>
      <w:r>
        <w:rPr/>
        <w:t>Opzioni Internet -&gt; Sicurezza -&gt; Intranet Locale -&gt; Livello Personalizzato:</w:t>
      </w:r>
    </w:p>
    <w:p>
      <w:pPr>
        <w:pStyle w:val="ListParagraph"/>
        <w:numPr>
          <w:ilvl w:val="0"/>
          <w:numId w:val="1"/>
        </w:numPr>
        <w:tabs>
          <w:tab w:pos="1189" w:val="left" w:leader="none"/>
        </w:tabs>
        <w:spacing w:line="240" w:lineRule="auto" w:before="0" w:after="0"/>
        <w:ind w:left="1188" w:right="0" w:hanging="360"/>
        <w:jc w:val="left"/>
        <w:rPr>
          <w:sz w:val="22"/>
        </w:rPr>
      </w:pPr>
      <w:r>
        <w:rPr>
          <w:sz w:val="22"/>
        </w:rPr>
        <w:t>Inizializza</w:t>
      </w:r>
      <w:r>
        <w:rPr>
          <w:spacing w:val="-2"/>
          <w:sz w:val="22"/>
        </w:rPr>
        <w:t> </w:t>
      </w:r>
      <w:r>
        <w:rPr>
          <w:sz w:val="22"/>
        </w:rPr>
        <w:t>ed</w:t>
      </w:r>
      <w:r>
        <w:rPr>
          <w:spacing w:val="-3"/>
          <w:sz w:val="22"/>
        </w:rPr>
        <w:t> </w:t>
      </w:r>
      <w:r>
        <w:rPr>
          <w:sz w:val="22"/>
        </w:rPr>
        <w:t>esegui</w:t>
      </w:r>
      <w:r>
        <w:rPr>
          <w:spacing w:val="-2"/>
          <w:sz w:val="22"/>
        </w:rPr>
        <w:t> </w:t>
      </w:r>
      <w:r>
        <w:rPr>
          <w:sz w:val="22"/>
        </w:rPr>
        <w:t>script</w:t>
      </w:r>
      <w:r>
        <w:rPr>
          <w:spacing w:val="-4"/>
          <w:sz w:val="22"/>
        </w:rPr>
        <w:t> </w:t>
      </w:r>
      <w:r>
        <w:rPr>
          <w:sz w:val="22"/>
        </w:rPr>
        <w:t>controlli</w:t>
      </w:r>
      <w:r>
        <w:rPr>
          <w:spacing w:val="-5"/>
          <w:sz w:val="22"/>
        </w:rPr>
        <w:t> </w:t>
      </w:r>
      <w:r>
        <w:rPr>
          <w:sz w:val="22"/>
        </w:rPr>
        <w:t>ActiveX</w:t>
      </w:r>
      <w:r>
        <w:rPr>
          <w:spacing w:val="-4"/>
          <w:sz w:val="22"/>
        </w:rPr>
        <w:t> </w:t>
      </w:r>
      <w:r>
        <w:rPr>
          <w:sz w:val="22"/>
        </w:rPr>
        <w:t>non</w:t>
      </w:r>
      <w:r>
        <w:rPr>
          <w:spacing w:val="-5"/>
          <w:sz w:val="22"/>
        </w:rPr>
        <w:t> </w:t>
      </w:r>
      <w:r>
        <w:rPr>
          <w:sz w:val="22"/>
        </w:rPr>
        <w:t>contrassegnati</w:t>
      </w:r>
      <w:r>
        <w:rPr>
          <w:spacing w:val="-2"/>
          <w:sz w:val="22"/>
        </w:rPr>
        <w:t> </w:t>
      </w:r>
      <w:r>
        <w:rPr>
          <w:sz w:val="22"/>
        </w:rPr>
        <w:t>come</w:t>
      </w:r>
      <w:r>
        <w:rPr>
          <w:spacing w:val="-2"/>
          <w:sz w:val="22"/>
        </w:rPr>
        <w:t> </w:t>
      </w:r>
      <w:r>
        <w:rPr>
          <w:sz w:val="22"/>
        </w:rPr>
        <w:t>sicuri</w:t>
      </w:r>
      <w:r>
        <w:rPr>
          <w:spacing w:val="-2"/>
          <w:sz w:val="22"/>
        </w:rPr>
        <w:t> </w:t>
      </w:r>
      <w:r>
        <w:rPr>
          <w:sz w:val="22"/>
        </w:rPr>
        <w:t>per</w:t>
      </w:r>
      <w:r>
        <w:rPr>
          <w:spacing w:val="-2"/>
          <w:sz w:val="22"/>
        </w:rPr>
        <w:t> </w:t>
      </w:r>
      <w:r>
        <w:rPr>
          <w:sz w:val="22"/>
        </w:rPr>
        <w:t>lo</w:t>
      </w:r>
      <w:r>
        <w:rPr>
          <w:spacing w:val="-3"/>
          <w:sz w:val="22"/>
        </w:rPr>
        <w:t> </w:t>
      </w:r>
      <w:r>
        <w:rPr>
          <w:sz w:val="22"/>
        </w:rPr>
        <w:t>script:</w:t>
      </w:r>
      <w:r>
        <w:rPr>
          <w:spacing w:val="-2"/>
          <w:sz w:val="22"/>
        </w:rPr>
        <w:t> </w:t>
      </w:r>
      <w:r>
        <w:rPr>
          <w:sz w:val="22"/>
        </w:rPr>
        <w:t>Attiva</w:t>
      </w:r>
    </w:p>
    <w:p>
      <w:pPr>
        <w:pStyle w:val="BodyText"/>
        <w:rPr>
          <w:sz w:val="24"/>
        </w:rPr>
      </w:pPr>
    </w:p>
    <w:p>
      <w:pPr>
        <w:pStyle w:val="BodyText"/>
        <w:rPr>
          <w:sz w:val="24"/>
        </w:rPr>
      </w:pPr>
    </w:p>
    <w:p>
      <w:pPr>
        <w:pStyle w:val="BodyText"/>
        <w:spacing w:before="10"/>
        <w:rPr>
          <w:sz w:val="19"/>
        </w:rPr>
      </w:pPr>
    </w:p>
    <w:p>
      <w:pPr>
        <w:pStyle w:val="BodyText"/>
        <w:spacing w:line="480" w:lineRule="auto"/>
        <w:ind w:left="120" w:right="6451"/>
      </w:pPr>
      <w:r>
        <w:rPr/>
        <w:t>Riavviare Iexplorer e il client ProCall. Lo script è operativo.</w:t>
      </w:r>
    </w:p>
    <w:p>
      <w:pPr>
        <w:pStyle w:val="BodyText"/>
        <w:spacing w:before="1"/>
        <w:ind w:left="120" w:right="89"/>
      </w:pPr>
      <w:r>
        <w:rPr/>
        <w:t>Una reference completa di Metodi e Oggetti JavaScript/ActiveX utilizzabili è presente nella documentazione della SDK di ProCall Enterprise scaricabile dalla nostra </w:t>
      </w:r>
      <w:r>
        <w:rPr>
          <w:color w:val="0562C1"/>
          <w:u w:val="single" w:color="0562C1"/>
        </w:rPr>
        <w:t>Area Download</w:t>
      </w:r>
    </w:p>
    <w:sectPr>
      <w:pgSz w:w="11910" w:h="16840"/>
      <w:pgMar w:top="1360" w:bottom="280" w:left="102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bullet"/>
      <w:lvlText w:val=""/>
      <w:lvlJc w:val="left"/>
      <w:pPr>
        <w:ind w:left="1188" w:hanging="360"/>
      </w:pPr>
      <w:rPr>
        <w:rFonts w:hint="default" w:ascii="Symbol" w:hAnsi="Symbol" w:eastAsia="Symbol" w:cs="Symbol"/>
        <w:w w:val="100"/>
        <w:sz w:val="22"/>
        <w:szCs w:val="22"/>
      </w:rPr>
    </w:lvl>
    <w:lvl w:ilvl="1">
      <w:start w:val="1"/>
      <w:numFmt w:val="bullet"/>
      <w:lvlText w:val="•"/>
      <w:lvlJc w:val="left"/>
      <w:pPr>
        <w:ind w:left="2046" w:hanging="360"/>
      </w:pPr>
      <w:rPr>
        <w:rFonts w:hint="default"/>
      </w:rPr>
    </w:lvl>
    <w:lvl w:ilvl="2">
      <w:start w:val="1"/>
      <w:numFmt w:val="bullet"/>
      <w:lvlText w:val="•"/>
      <w:lvlJc w:val="left"/>
      <w:pPr>
        <w:ind w:left="2913" w:hanging="360"/>
      </w:pPr>
      <w:rPr>
        <w:rFonts w:hint="default"/>
      </w:rPr>
    </w:lvl>
    <w:lvl w:ilvl="3">
      <w:start w:val="1"/>
      <w:numFmt w:val="bullet"/>
      <w:lvlText w:val="•"/>
      <w:lvlJc w:val="left"/>
      <w:pPr>
        <w:ind w:left="3779" w:hanging="360"/>
      </w:pPr>
      <w:rPr>
        <w:rFonts w:hint="default"/>
      </w:rPr>
    </w:lvl>
    <w:lvl w:ilvl="4">
      <w:start w:val="1"/>
      <w:numFmt w:val="bullet"/>
      <w:lvlText w:val="•"/>
      <w:lvlJc w:val="left"/>
      <w:pPr>
        <w:ind w:left="4646" w:hanging="360"/>
      </w:pPr>
      <w:rPr>
        <w:rFonts w:hint="default"/>
      </w:rPr>
    </w:lvl>
    <w:lvl w:ilvl="5">
      <w:start w:val="1"/>
      <w:numFmt w:val="bullet"/>
      <w:lvlText w:val="•"/>
      <w:lvlJc w:val="left"/>
      <w:pPr>
        <w:ind w:left="5513" w:hanging="360"/>
      </w:pPr>
      <w:rPr>
        <w:rFonts w:hint="default"/>
      </w:rPr>
    </w:lvl>
    <w:lvl w:ilvl="6">
      <w:start w:val="1"/>
      <w:numFmt w:val="bullet"/>
      <w:lvlText w:val="•"/>
      <w:lvlJc w:val="left"/>
      <w:pPr>
        <w:ind w:left="6379" w:hanging="360"/>
      </w:pPr>
      <w:rPr>
        <w:rFonts w:hint="default"/>
      </w:rPr>
    </w:lvl>
    <w:lvl w:ilvl="7">
      <w:start w:val="1"/>
      <w:numFmt w:val="bullet"/>
      <w:lvlText w:val="•"/>
      <w:lvlJc w:val="left"/>
      <w:pPr>
        <w:ind w:left="7246" w:hanging="360"/>
      </w:pPr>
      <w:rPr>
        <w:rFonts w:hint="default"/>
      </w:rPr>
    </w:lvl>
    <w:lvl w:ilvl="8">
      <w:start w:val="1"/>
      <w:numFmt w:val="bullet"/>
      <w:lvlText w:val="•"/>
      <w:lvlJc w:val="left"/>
      <w:pPr>
        <w:ind w:left="8113"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ListParagraph" w:type="paragraph">
    <w:name w:val="List Paragraph"/>
    <w:basedOn w:val="Normal"/>
    <w:uiPriority w:val="1"/>
    <w:qFormat/>
    <w:pPr>
      <w:ind w:left="1188" w:hanging="360"/>
    </w:pPr>
    <w:rPr>
      <w:rFonts w:ascii="Calibri" w:hAnsi="Calibri" w:eastAsia="Calibri" w:cs="Calibr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Chittaro</dc:creator>
  <dcterms:created xsi:type="dcterms:W3CDTF">2016-06-27T12:59:22Z</dcterms:created>
  <dcterms:modified xsi:type="dcterms:W3CDTF">2016-06-27T12:59:22Z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2013-11-29T00:00:00Z</vt:filetime>
  </property>
  <property fmtid="{D5CDD505-2E9C-101B-9397-08002B2CF9AE}" pid="3" name="Creator">
    <vt:lpwstr>Microsoft® Word 2013</vt:lpwstr>
  </property>
  <property fmtid="{D5CDD505-2E9C-101B-9397-08002B2CF9AE}" pid="4" name="LastSaved">
    <vt:filetime>2016-06-27T00:00:00Z</vt:filetime>
  </property>
</Properties>
</file>